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5773" w14:textId="77777777" w:rsidR="00B5551B" w:rsidRPr="00B5551B" w:rsidRDefault="00B5551B" w:rsidP="0025256A">
      <w:pPr>
        <w:spacing w:after="0" w:line="240" w:lineRule="auto"/>
        <w:rPr>
          <w:rFonts w:ascii="Times New Roman" w:eastAsia="Calibri" w:hAnsi="Times New Roman" w:cs="Times New Roman"/>
        </w:rPr>
      </w:pPr>
      <w:r w:rsidRPr="00B5551B">
        <w:rPr>
          <w:rFonts w:ascii="Times New Roman" w:eastAsia="Calibri" w:hAnsi="Times New Roman" w:cs="Times New Roman"/>
          <w:color w:val="000066"/>
          <w:sz w:val="24"/>
          <w:szCs w:val="24"/>
        </w:rPr>
        <w:t>WLEB Nutrient Application Regulations</w:t>
      </w:r>
    </w:p>
    <w:p w14:paraId="1267C4DA" w14:textId="77777777" w:rsidR="00B5551B" w:rsidRPr="00B5551B" w:rsidRDefault="00B5551B" w:rsidP="0025256A">
      <w:pPr>
        <w:spacing w:after="0" w:line="240" w:lineRule="auto"/>
        <w:rPr>
          <w:rFonts w:ascii="Times New Roman" w:eastAsia="Calibri" w:hAnsi="Times New Roman" w:cs="Times New Roman"/>
          <w:color w:val="000000"/>
          <w:sz w:val="24"/>
          <w:szCs w:val="24"/>
        </w:rPr>
      </w:pPr>
      <w:r w:rsidRPr="00B5551B">
        <w:rPr>
          <w:rFonts w:ascii="Times New Roman" w:eastAsia="Calibri" w:hAnsi="Times New Roman" w:cs="Times New Roman"/>
          <w:color w:val="000066"/>
          <w:sz w:val="24"/>
          <w:szCs w:val="24"/>
        </w:rPr>
        <w:t>By: Madison Gray, Nutrient Management Specialist</w:t>
      </w:r>
    </w:p>
    <w:p w14:paraId="548E3344" w14:textId="77777777" w:rsidR="0025256A" w:rsidRPr="0042618E" w:rsidRDefault="0025256A" w:rsidP="0025256A">
      <w:pPr>
        <w:spacing w:after="0" w:line="240" w:lineRule="auto"/>
        <w:ind w:firstLine="720"/>
        <w:rPr>
          <w:rFonts w:ascii="Times New Roman" w:eastAsia="Calibri" w:hAnsi="Times New Roman" w:cs="Times New Roman"/>
          <w:color w:val="000066"/>
          <w:sz w:val="24"/>
          <w:szCs w:val="24"/>
        </w:rPr>
      </w:pPr>
    </w:p>
    <w:p w14:paraId="31F78C3A" w14:textId="33F18BD5" w:rsidR="00B5551B" w:rsidRPr="00B5551B" w:rsidRDefault="00B5551B" w:rsidP="0025256A">
      <w:pPr>
        <w:spacing w:after="0" w:line="240" w:lineRule="auto"/>
        <w:ind w:firstLine="720"/>
        <w:rPr>
          <w:rFonts w:ascii="Times New Roman" w:eastAsia="Calibri" w:hAnsi="Times New Roman" w:cs="Times New Roman"/>
          <w:sz w:val="24"/>
          <w:szCs w:val="24"/>
        </w:rPr>
      </w:pPr>
      <w:r w:rsidRPr="0042618E">
        <w:rPr>
          <w:rFonts w:ascii="Times New Roman" w:eastAsia="Calibri" w:hAnsi="Times New Roman" w:cs="Times New Roman"/>
          <w:color w:val="000066"/>
          <w:sz w:val="24"/>
          <w:szCs w:val="24"/>
        </w:rPr>
        <w:t>With winter quickly approaching, Madison and the Williams Soil and Water Conservation District (SWCD would like to remind producers and nutrient applicators of laws and regulations when applying manure or fertilizer in the Western Lake Erie Basin (WLEB).</w:t>
      </w:r>
    </w:p>
    <w:p w14:paraId="4E19453B" w14:textId="77777777" w:rsidR="0025256A" w:rsidRDefault="0025256A" w:rsidP="0025256A">
      <w:pPr>
        <w:spacing w:after="0" w:line="240" w:lineRule="auto"/>
        <w:rPr>
          <w:rFonts w:ascii="Times New Roman" w:eastAsia="Calibri" w:hAnsi="Times New Roman" w:cs="Times New Roman"/>
          <w:color w:val="000066"/>
          <w:sz w:val="24"/>
          <w:szCs w:val="24"/>
        </w:rPr>
      </w:pPr>
    </w:p>
    <w:p w14:paraId="2A652BCC" w14:textId="4283081C" w:rsidR="0025256A" w:rsidRDefault="00B5551B" w:rsidP="0025256A">
      <w:pPr>
        <w:spacing w:after="0" w:line="240" w:lineRule="auto"/>
        <w:rPr>
          <w:rFonts w:ascii="Times New Roman" w:eastAsia="Calibri" w:hAnsi="Times New Roman" w:cs="Times New Roman"/>
          <w:color w:val="000066"/>
          <w:sz w:val="24"/>
          <w:szCs w:val="24"/>
        </w:rPr>
      </w:pPr>
      <w:r w:rsidRPr="00B5551B">
        <w:rPr>
          <w:rFonts w:ascii="Times New Roman" w:eastAsia="Calibri" w:hAnsi="Times New Roman" w:cs="Times New Roman"/>
          <w:color w:val="000066"/>
          <w:sz w:val="24"/>
          <w:szCs w:val="24"/>
        </w:rPr>
        <w:t>After being signed into law in July 2015, the Ohio Revised Code 939.08 or commonly known as Ohio Senate Bill 1,</w:t>
      </w:r>
    </w:p>
    <w:p w14:paraId="37DAE9D2" w14:textId="77777777" w:rsidR="00007B19" w:rsidRDefault="00007B19" w:rsidP="0025256A">
      <w:pPr>
        <w:spacing w:after="0" w:line="240" w:lineRule="auto"/>
        <w:rPr>
          <w:rFonts w:ascii="Times New Roman" w:eastAsia="Calibri" w:hAnsi="Times New Roman" w:cs="Times New Roman"/>
          <w:color w:val="000066"/>
          <w:sz w:val="24"/>
          <w:szCs w:val="24"/>
        </w:rPr>
      </w:pPr>
    </w:p>
    <w:p w14:paraId="00CB6D48" w14:textId="24FBE1DC" w:rsidR="00B5551B" w:rsidRPr="00B5551B" w:rsidRDefault="0025256A" w:rsidP="0025256A">
      <w:pPr>
        <w:spacing w:after="0" w:line="240" w:lineRule="auto"/>
        <w:ind w:firstLine="720"/>
        <w:rPr>
          <w:rFonts w:ascii="Times New Roman" w:eastAsia="Calibri" w:hAnsi="Times New Roman" w:cs="Times New Roman"/>
          <w:color w:val="000066"/>
          <w:sz w:val="24"/>
          <w:szCs w:val="24"/>
        </w:rPr>
      </w:pPr>
      <w:r>
        <w:rPr>
          <w:rFonts w:ascii="Times New Roman" w:eastAsia="Calibri" w:hAnsi="Times New Roman" w:cs="Times New Roman"/>
          <w:color w:val="000066"/>
          <w:sz w:val="24"/>
          <w:szCs w:val="24"/>
        </w:rPr>
        <w:t>P</w:t>
      </w:r>
      <w:r w:rsidR="00B5551B" w:rsidRPr="00B5551B">
        <w:rPr>
          <w:rFonts w:ascii="Times New Roman" w:eastAsia="Calibri" w:hAnsi="Times New Roman" w:cs="Times New Roman"/>
          <w:color w:val="000066"/>
          <w:sz w:val="24"/>
          <w:szCs w:val="24"/>
        </w:rPr>
        <w:t xml:space="preserve">rohibits </w:t>
      </w:r>
      <w:r w:rsidR="00B5551B" w:rsidRPr="00B5551B">
        <w:rPr>
          <w:rFonts w:ascii="Times New Roman" w:eastAsia="Calibri" w:hAnsi="Times New Roman" w:cs="Times New Roman"/>
          <w:b/>
          <w:bCs/>
          <w:color w:val="000066"/>
          <w:sz w:val="24"/>
          <w:szCs w:val="24"/>
        </w:rPr>
        <w:t>fertilizer</w:t>
      </w:r>
      <w:r w:rsidR="00B5551B" w:rsidRPr="00B5551B">
        <w:rPr>
          <w:rFonts w:ascii="Times New Roman" w:eastAsia="Calibri" w:hAnsi="Times New Roman" w:cs="Times New Roman"/>
          <w:color w:val="000066"/>
          <w:sz w:val="24"/>
          <w:szCs w:val="24"/>
        </w:rPr>
        <w:t xml:space="preserve"> applications</w:t>
      </w:r>
      <w:r w:rsidR="00007B19">
        <w:rPr>
          <w:rFonts w:ascii="Times New Roman" w:eastAsia="Calibri" w:hAnsi="Times New Roman" w:cs="Times New Roman"/>
          <w:color w:val="000066"/>
          <w:sz w:val="24"/>
          <w:szCs w:val="24"/>
        </w:rPr>
        <w:t xml:space="preserve"> on</w:t>
      </w:r>
      <w:r w:rsidR="00B5551B" w:rsidRPr="00B5551B">
        <w:rPr>
          <w:rFonts w:ascii="Times New Roman" w:eastAsia="Calibri" w:hAnsi="Times New Roman" w:cs="Times New Roman"/>
          <w:color w:val="000066"/>
          <w:sz w:val="24"/>
          <w:szCs w:val="24"/>
        </w:rPr>
        <w:t>:</w:t>
      </w:r>
    </w:p>
    <w:p w14:paraId="172C1F54" w14:textId="60D01AB4" w:rsidR="00B5551B" w:rsidRPr="00B5551B" w:rsidRDefault="00B5551B" w:rsidP="0025256A">
      <w:pPr>
        <w:numPr>
          <w:ilvl w:val="0"/>
          <w:numId w:val="1"/>
        </w:numPr>
        <w:spacing w:after="0" w:line="252" w:lineRule="auto"/>
        <w:contextualSpacing/>
        <w:rPr>
          <w:rFonts w:ascii="Times New Roman" w:eastAsia="Times New Roman" w:hAnsi="Times New Roman" w:cs="Times New Roman"/>
          <w:color w:val="000066"/>
          <w:sz w:val="24"/>
          <w:szCs w:val="24"/>
        </w:rPr>
      </w:pPr>
      <w:r w:rsidRPr="00B5551B">
        <w:rPr>
          <w:rFonts w:ascii="Times New Roman" w:eastAsia="Times New Roman" w:hAnsi="Times New Roman" w:cs="Times New Roman"/>
          <w:color w:val="000066"/>
          <w:sz w:val="24"/>
          <w:szCs w:val="24"/>
        </w:rPr>
        <w:t>frozen or snow-covered ground</w:t>
      </w:r>
    </w:p>
    <w:p w14:paraId="12BA8787" w14:textId="317B74AE" w:rsidR="00B5551B" w:rsidRPr="00B5551B" w:rsidRDefault="00B20478" w:rsidP="0025256A">
      <w:pPr>
        <w:numPr>
          <w:ilvl w:val="0"/>
          <w:numId w:val="1"/>
        </w:numPr>
        <w:spacing w:after="0" w:line="252" w:lineRule="auto"/>
        <w:contextualSpacing/>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saturated ground (top 2 inches)</w:t>
      </w:r>
    </w:p>
    <w:p w14:paraId="18EDF2E4" w14:textId="3347EC02" w:rsidR="00B5551B" w:rsidRPr="00B5551B" w:rsidRDefault="00B20478" w:rsidP="0025256A">
      <w:pPr>
        <w:numPr>
          <w:ilvl w:val="0"/>
          <w:numId w:val="1"/>
        </w:numPr>
        <w:spacing w:after="0" w:line="252" w:lineRule="auto"/>
        <w:contextualSpacing/>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F</w:t>
      </w:r>
      <w:r w:rsidR="00B5551B" w:rsidRPr="00B5551B">
        <w:rPr>
          <w:rFonts w:ascii="Times New Roman" w:eastAsia="Times New Roman" w:hAnsi="Times New Roman" w:cs="Times New Roman"/>
          <w:color w:val="000066"/>
          <w:sz w:val="24"/>
          <w:szCs w:val="24"/>
        </w:rPr>
        <w:t>orecast calls for a 50% chance of precipitation exceeding 1 inch in the following 12-hour period</w:t>
      </w:r>
    </w:p>
    <w:p w14:paraId="7B8BD06E" w14:textId="0D27538D" w:rsidR="00B5551B" w:rsidRPr="00B5551B" w:rsidRDefault="0025256A" w:rsidP="0025256A">
      <w:pPr>
        <w:spacing w:after="0" w:line="240" w:lineRule="auto"/>
        <w:ind w:firstLine="720"/>
        <w:rPr>
          <w:rFonts w:ascii="Times New Roman" w:eastAsia="Calibri" w:hAnsi="Times New Roman" w:cs="Times New Roman"/>
          <w:color w:val="000066"/>
          <w:sz w:val="24"/>
          <w:szCs w:val="24"/>
        </w:rPr>
      </w:pPr>
      <w:r>
        <w:rPr>
          <w:rFonts w:ascii="Times New Roman" w:eastAsia="Calibri" w:hAnsi="Times New Roman" w:cs="Times New Roman"/>
          <w:color w:val="000066"/>
          <w:sz w:val="24"/>
          <w:szCs w:val="24"/>
        </w:rPr>
        <w:t>P</w:t>
      </w:r>
      <w:r w:rsidR="00B5551B" w:rsidRPr="00B5551B">
        <w:rPr>
          <w:rFonts w:ascii="Times New Roman" w:eastAsia="Calibri" w:hAnsi="Times New Roman" w:cs="Times New Roman"/>
          <w:color w:val="000066"/>
          <w:sz w:val="24"/>
          <w:szCs w:val="24"/>
        </w:rPr>
        <w:t xml:space="preserve">rohibits </w:t>
      </w:r>
      <w:r w:rsidR="00B5551B" w:rsidRPr="00B5551B">
        <w:rPr>
          <w:rFonts w:ascii="Times New Roman" w:eastAsia="Calibri" w:hAnsi="Times New Roman" w:cs="Times New Roman"/>
          <w:b/>
          <w:bCs/>
          <w:color w:val="000066"/>
          <w:sz w:val="24"/>
          <w:szCs w:val="24"/>
        </w:rPr>
        <w:t>manure</w:t>
      </w:r>
      <w:r w:rsidR="00B5551B" w:rsidRPr="00B5551B">
        <w:rPr>
          <w:rFonts w:ascii="Times New Roman" w:eastAsia="Calibri" w:hAnsi="Times New Roman" w:cs="Times New Roman"/>
          <w:color w:val="000066"/>
          <w:sz w:val="24"/>
          <w:szCs w:val="24"/>
        </w:rPr>
        <w:t xml:space="preserve"> applications</w:t>
      </w:r>
      <w:r w:rsidR="00007B19">
        <w:rPr>
          <w:rFonts w:ascii="Times New Roman" w:eastAsia="Calibri" w:hAnsi="Times New Roman" w:cs="Times New Roman"/>
          <w:color w:val="000066"/>
          <w:sz w:val="24"/>
          <w:szCs w:val="24"/>
        </w:rPr>
        <w:t xml:space="preserve"> on</w:t>
      </w:r>
      <w:r w:rsidR="00B5551B" w:rsidRPr="00B5551B">
        <w:rPr>
          <w:rFonts w:ascii="Times New Roman" w:eastAsia="Calibri" w:hAnsi="Times New Roman" w:cs="Times New Roman"/>
          <w:color w:val="000066"/>
          <w:sz w:val="24"/>
          <w:szCs w:val="24"/>
        </w:rPr>
        <w:t>:</w:t>
      </w:r>
    </w:p>
    <w:p w14:paraId="3DC80BFA" w14:textId="3CF63B59" w:rsidR="00B5551B" w:rsidRPr="00B5551B" w:rsidRDefault="00B5551B" w:rsidP="0025256A">
      <w:pPr>
        <w:numPr>
          <w:ilvl w:val="0"/>
          <w:numId w:val="1"/>
        </w:numPr>
        <w:spacing w:after="0" w:line="252" w:lineRule="auto"/>
        <w:contextualSpacing/>
        <w:rPr>
          <w:rFonts w:ascii="Times New Roman" w:eastAsia="Times New Roman" w:hAnsi="Times New Roman" w:cs="Times New Roman"/>
          <w:color w:val="000066"/>
          <w:sz w:val="24"/>
          <w:szCs w:val="24"/>
        </w:rPr>
      </w:pPr>
      <w:r w:rsidRPr="00B5551B">
        <w:rPr>
          <w:rFonts w:ascii="Times New Roman" w:eastAsia="Times New Roman" w:hAnsi="Times New Roman" w:cs="Times New Roman"/>
          <w:color w:val="000066"/>
          <w:sz w:val="24"/>
          <w:szCs w:val="24"/>
        </w:rPr>
        <w:t>frozen or snow-covered ground</w:t>
      </w:r>
    </w:p>
    <w:p w14:paraId="3E80495E" w14:textId="5061596F" w:rsidR="00B5551B" w:rsidRPr="00B5551B" w:rsidRDefault="00B20478" w:rsidP="0025256A">
      <w:pPr>
        <w:numPr>
          <w:ilvl w:val="0"/>
          <w:numId w:val="1"/>
        </w:numPr>
        <w:spacing w:after="0" w:line="252" w:lineRule="auto"/>
        <w:contextualSpacing/>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saturated ground (top 2 inches)</w:t>
      </w:r>
    </w:p>
    <w:p w14:paraId="5A8B62EE" w14:textId="130A0913" w:rsidR="00B5551B" w:rsidRPr="00B5551B" w:rsidRDefault="00B20478" w:rsidP="0025256A">
      <w:pPr>
        <w:numPr>
          <w:ilvl w:val="0"/>
          <w:numId w:val="1"/>
        </w:numPr>
        <w:spacing w:after="0" w:line="252" w:lineRule="auto"/>
        <w:contextualSpacing/>
        <w:rPr>
          <w:rFonts w:ascii="Times New Roman" w:eastAsia="Times New Roman" w:hAnsi="Times New Roman" w:cs="Times New Roman"/>
          <w:color w:val="000066"/>
          <w:sz w:val="24"/>
          <w:szCs w:val="24"/>
        </w:rPr>
      </w:pPr>
      <w:r>
        <w:rPr>
          <w:rFonts w:ascii="Times New Roman" w:eastAsia="Times New Roman" w:hAnsi="Times New Roman" w:cs="Times New Roman"/>
          <w:color w:val="000066"/>
          <w:sz w:val="24"/>
          <w:szCs w:val="24"/>
        </w:rPr>
        <w:t>F</w:t>
      </w:r>
      <w:r w:rsidR="00B5551B" w:rsidRPr="00B5551B">
        <w:rPr>
          <w:rFonts w:ascii="Times New Roman" w:eastAsia="Times New Roman" w:hAnsi="Times New Roman" w:cs="Times New Roman"/>
          <w:color w:val="000066"/>
          <w:sz w:val="24"/>
          <w:szCs w:val="24"/>
        </w:rPr>
        <w:t>orecast calls for a 50% chance of precipitation exceeding ½ inch in the following 24-hour period</w:t>
      </w:r>
    </w:p>
    <w:p w14:paraId="159E90FF" w14:textId="77777777" w:rsidR="00B20478" w:rsidRDefault="00B20478" w:rsidP="0025256A">
      <w:pPr>
        <w:spacing w:after="0" w:line="240" w:lineRule="auto"/>
        <w:rPr>
          <w:rFonts w:ascii="Times New Roman" w:eastAsia="Calibri" w:hAnsi="Times New Roman" w:cs="Times New Roman"/>
          <w:color w:val="000066"/>
          <w:sz w:val="24"/>
          <w:szCs w:val="24"/>
        </w:rPr>
      </w:pPr>
    </w:p>
    <w:p w14:paraId="51FCD4F6" w14:textId="03DEEAC0" w:rsidR="00B20478" w:rsidRPr="0025256A" w:rsidRDefault="00B5551B" w:rsidP="0025256A">
      <w:pPr>
        <w:pStyle w:val="ListParagraph"/>
        <w:numPr>
          <w:ilvl w:val="0"/>
          <w:numId w:val="3"/>
        </w:numPr>
        <w:spacing w:after="0" w:line="240" w:lineRule="auto"/>
        <w:rPr>
          <w:rFonts w:ascii="Times New Roman" w:eastAsia="Calibri" w:hAnsi="Times New Roman" w:cs="Times New Roman"/>
          <w:color w:val="000066"/>
          <w:sz w:val="24"/>
          <w:szCs w:val="24"/>
        </w:rPr>
      </w:pPr>
      <w:r w:rsidRPr="0025256A">
        <w:rPr>
          <w:rFonts w:ascii="Times New Roman" w:eastAsia="Calibri" w:hAnsi="Times New Roman" w:cs="Times New Roman"/>
          <w:color w:val="000066"/>
          <w:sz w:val="24"/>
          <w:szCs w:val="24"/>
        </w:rPr>
        <w:t>Applicators are responsible for checking and keeping records of rain forecasts when applying.</w:t>
      </w:r>
    </w:p>
    <w:p w14:paraId="4C2B80DE" w14:textId="19E07310" w:rsidR="00B5551B" w:rsidRPr="0025256A" w:rsidRDefault="00B5551B" w:rsidP="0025256A">
      <w:pPr>
        <w:pStyle w:val="ListParagraph"/>
        <w:numPr>
          <w:ilvl w:val="0"/>
          <w:numId w:val="3"/>
        </w:numPr>
        <w:spacing w:after="0" w:line="240" w:lineRule="auto"/>
        <w:rPr>
          <w:rFonts w:ascii="Times New Roman" w:eastAsia="Calibri" w:hAnsi="Times New Roman" w:cs="Times New Roman"/>
          <w:color w:val="000066"/>
          <w:sz w:val="24"/>
          <w:szCs w:val="24"/>
        </w:rPr>
      </w:pPr>
      <w:r w:rsidRPr="0025256A">
        <w:rPr>
          <w:rFonts w:ascii="Times New Roman" w:eastAsia="Calibri" w:hAnsi="Times New Roman" w:cs="Times New Roman"/>
          <w:color w:val="000066"/>
          <w:sz w:val="24"/>
          <w:szCs w:val="24"/>
        </w:rPr>
        <w:t>Restrictions do not apply if the application is injected into the ground, is incorporated within 24 hours of surface application, or is applied to a successful growing crop.</w:t>
      </w:r>
    </w:p>
    <w:p w14:paraId="39797734" w14:textId="77777777" w:rsidR="0025256A" w:rsidRDefault="0025256A" w:rsidP="0025256A">
      <w:pPr>
        <w:spacing w:after="0" w:line="240" w:lineRule="auto"/>
        <w:rPr>
          <w:rFonts w:ascii="Times New Roman" w:eastAsia="Calibri" w:hAnsi="Times New Roman" w:cs="Times New Roman"/>
          <w:color w:val="000066"/>
          <w:sz w:val="24"/>
          <w:szCs w:val="24"/>
        </w:rPr>
      </w:pPr>
    </w:p>
    <w:p w14:paraId="791B8D74" w14:textId="1924CDA2" w:rsidR="00B20478" w:rsidRDefault="00B5551B" w:rsidP="0025256A">
      <w:pPr>
        <w:spacing w:after="0" w:line="240" w:lineRule="auto"/>
        <w:rPr>
          <w:rFonts w:ascii="Times New Roman" w:eastAsia="Calibri" w:hAnsi="Times New Roman" w:cs="Times New Roman"/>
          <w:color w:val="000066"/>
          <w:sz w:val="24"/>
          <w:szCs w:val="24"/>
        </w:rPr>
      </w:pPr>
      <w:r w:rsidRPr="00B5551B">
        <w:rPr>
          <w:rFonts w:ascii="Times New Roman" w:eastAsia="Calibri" w:hAnsi="Times New Roman" w:cs="Times New Roman"/>
          <w:color w:val="000066"/>
          <w:sz w:val="24"/>
          <w:szCs w:val="24"/>
        </w:rPr>
        <w:t>*</w:t>
      </w:r>
      <w:r w:rsidR="00B20478">
        <w:rPr>
          <w:rFonts w:ascii="Times New Roman" w:eastAsia="Calibri" w:hAnsi="Times New Roman" w:cs="Times New Roman"/>
          <w:color w:val="000066"/>
          <w:sz w:val="24"/>
          <w:szCs w:val="24"/>
        </w:rPr>
        <w:t>**</w:t>
      </w:r>
      <w:r w:rsidRPr="00B5551B">
        <w:rPr>
          <w:rFonts w:ascii="Times New Roman" w:eastAsia="Calibri" w:hAnsi="Times New Roman" w:cs="Times New Roman"/>
          <w:b/>
          <w:bCs/>
          <w:color w:val="000066"/>
          <w:sz w:val="24"/>
          <w:szCs w:val="24"/>
        </w:rPr>
        <w:t xml:space="preserve">Discharge or pollution into </w:t>
      </w:r>
      <w:r w:rsidR="0025256A" w:rsidRPr="0025256A">
        <w:rPr>
          <w:rFonts w:ascii="Times New Roman" w:eastAsia="Calibri" w:hAnsi="Times New Roman" w:cs="Times New Roman"/>
          <w:b/>
          <w:bCs/>
          <w:color w:val="000066"/>
          <w:sz w:val="24"/>
          <w:szCs w:val="24"/>
        </w:rPr>
        <w:t>‘</w:t>
      </w:r>
      <w:r w:rsidRPr="00B5551B">
        <w:rPr>
          <w:rFonts w:ascii="Times New Roman" w:eastAsia="Calibri" w:hAnsi="Times New Roman" w:cs="Times New Roman"/>
          <w:b/>
          <w:bCs/>
          <w:color w:val="000066"/>
          <w:sz w:val="24"/>
          <w:szCs w:val="24"/>
        </w:rPr>
        <w:t>Waters</w:t>
      </w:r>
      <w:r w:rsidR="0025256A" w:rsidRPr="0025256A">
        <w:rPr>
          <w:rFonts w:ascii="Times New Roman" w:eastAsia="Calibri" w:hAnsi="Times New Roman" w:cs="Times New Roman"/>
          <w:b/>
          <w:bCs/>
          <w:color w:val="000066"/>
          <w:sz w:val="24"/>
          <w:szCs w:val="24"/>
        </w:rPr>
        <w:t xml:space="preserve"> </w:t>
      </w:r>
      <w:r w:rsidRPr="00B5551B">
        <w:rPr>
          <w:rFonts w:ascii="Times New Roman" w:eastAsia="Calibri" w:hAnsi="Times New Roman" w:cs="Times New Roman"/>
          <w:b/>
          <w:bCs/>
          <w:color w:val="000066"/>
          <w:sz w:val="24"/>
          <w:szCs w:val="24"/>
        </w:rPr>
        <w:t>of the</w:t>
      </w:r>
      <w:r w:rsidR="0025256A" w:rsidRPr="0025256A">
        <w:rPr>
          <w:rFonts w:ascii="Times New Roman" w:eastAsia="Calibri" w:hAnsi="Times New Roman" w:cs="Times New Roman"/>
          <w:b/>
          <w:bCs/>
          <w:color w:val="000066"/>
          <w:sz w:val="24"/>
          <w:szCs w:val="24"/>
        </w:rPr>
        <w:t xml:space="preserve"> </w:t>
      </w:r>
      <w:r w:rsidRPr="00B5551B">
        <w:rPr>
          <w:rFonts w:ascii="Times New Roman" w:eastAsia="Calibri" w:hAnsi="Times New Roman" w:cs="Times New Roman"/>
          <w:b/>
          <w:bCs/>
          <w:color w:val="000066"/>
          <w:sz w:val="24"/>
          <w:szCs w:val="24"/>
        </w:rPr>
        <w:t>S</w:t>
      </w:r>
      <w:r w:rsidR="0025256A" w:rsidRPr="0025256A">
        <w:rPr>
          <w:rFonts w:ascii="Times New Roman" w:eastAsia="Calibri" w:hAnsi="Times New Roman" w:cs="Times New Roman"/>
          <w:b/>
          <w:bCs/>
          <w:color w:val="000066"/>
          <w:sz w:val="24"/>
          <w:szCs w:val="24"/>
        </w:rPr>
        <w:t>t</w:t>
      </w:r>
      <w:r w:rsidRPr="00B5551B">
        <w:rPr>
          <w:rFonts w:ascii="Times New Roman" w:eastAsia="Calibri" w:hAnsi="Times New Roman" w:cs="Times New Roman"/>
          <w:b/>
          <w:bCs/>
          <w:color w:val="000066"/>
          <w:sz w:val="24"/>
          <w:szCs w:val="24"/>
        </w:rPr>
        <w:t>ate</w:t>
      </w:r>
      <w:r w:rsidR="0025256A" w:rsidRPr="0025256A">
        <w:rPr>
          <w:rFonts w:ascii="Times New Roman" w:eastAsia="Calibri" w:hAnsi="Times New Roman" w:cs="Times New Roman"/>
          <w:b/>
          <w:bCs/>
          <w:color w:val="000066"/>
          <w:sz w:val="24"/>
          <w:szCs w:val="24"/>
        </w:rPr>
        <w:t>’</w:t>
      </w:r>
      <w:r w:rsidRPr="00B5551B">
        <w:rPr>
          <w:rFonts w:ascii="Times New Roman" w:eastAsia="Calibri" w:hAnsi="Times New Roman" w:cs="Times New Roman"/>
          <w:b/>
          <w:bCs/>
          <w:color w:val="000066"/>
          <w:sz w:val="24"/>
          <w:szCs w:val="24"/>
        </w:rPr>
        <w:t xml:space="preserve"> will be in violation</w:t>
      </w:r>
      <w:r w:rsidRPr="00B5551B">
        <w:rPr>
          <w:rFonts w:ascii="Times New Roman" w:eastAsia="Calibri" w:hAnsi="Times New Roman" w:cs="Times New Roman"/>
          <w:color w:val="000066"/>
          <w:sz w:val="24"/>
          <w:szCs w:val="24"/>
        </w:rPr>
        <w:t xml:space="preserve"> of the</w:t>
      </w:r>
      <w:r w:rsidR="0025256A">
        <w:rPr>
          <w:rFonts w:ascii="Times New Roman" w:eastAsia="Calibri" w:hAnsi="Times New Roman" w:cs="Times New Roman"/>
          <w:color w:val="000066"/>
          <w:sz w:val="24"/>
          <w:szCs w:val="24"/>
        </w:rPr>
        <w:t xml:space="preserve"> Ohio Department of Agriculture’s</w:t>
      </w:r>
      <w:r w:rsidRPr="00B5551B">
        <w:rPr>
          <w:rFonts w:ascii="Times New Roman" w:eastAsia="Calibri" w:hAnsi="Times New Roman" w:cs="Times New Roman"/>
          <w:color w:val="000066"/>
          <w:sz w:val="24"/>
          <w:szCs w:val="24"/>
        </w:rPr>
        <w:t xml:space="preserve"> Pollution Abatement Program, Ohio Revised Code, and Ohio Administrative Code.</w:t>
      </w:r>
      <w:r w:rsidR="00B20478">
        <w:rPr>
          <w:rFonts w:ascii="Times New Roman" w:eastAsia="Calibri" w:hAnsi="Times New Roman" w:cs="Times New Roman"/>
          <w:color w:val="000066"/>
          <w:sz w:val="24"/>
          <w:szCs w:val="24"/>
        </w:rPr>
        <w:t>***</w:t>
      </w:r>
    </w:p>
    <w:p w14:paraId="5EB91919" w14:textId="77777777" w:rsidR="00007B19" w:rsidRDefault="00007B19" w:rsidP="00007B19">
      <w:pPr>
        <w:spacing w:after="0" w:line="240" w:lineRule="auto"/>
        <w:rPr>
          <w:rFonts w:ascii="Times New Roman" w:eastAsia="Calibri" w:hAnsi="Times New Roman" w:cs="Times New Roman"/>
          <w:color w:val="000066"/>
          <w:sz w:val="24"/>
          <w:szCs w:val="24"/>
        </w:rPr>
      </w:pPr>
    </w:p>
    <w:p w14:paraId="40F5DC52" w14:textId="14C625F9" w:rsidR="00B5551B" w:rsidRPr="00B5551B" w:rsidRDefault="00B5551B" w:rsidP="00007B19">
      <w:pPr>
        <w:spacing w:after="0" w:line="240" w:lineRule="auto"/>
        <w:rPr>
          <w:rFonts w:ascii="Times New Roman" w:eastAsia="Calibri" w:hAnsi="Times New Roman" w:cs="Times New Roman"/>
          <w:color w:val="000066"/>
          <w:sz w:val="24"/>
          <w:szCs w:val="24"/>
        </w:rPr>
      </w:pPr>
      <w:r w:rsidRPr="00B5551B">
        <w:rPr>
          <w:rFonts w:ascii="Times New Roman" w:eastAsia="Calibri" w:hAnsi="Times New Roman" w:cs="Times New Roman"/>
          <w:color w:val="000066"/>
          <w:sz w:val="24"/>
          <w:szCs w:val="24"/>
        </w:rPr>
        <w:t>For more information or questions and concerns about these regulations, please call the Williams SWCD office at 419-636-9395</w:t>
      </w:r>
      <w:r w:rsidR="00007B19">
        <w:rPr>
          <w:rFonts w:ascii="Times New Roman" w:eastAsia="Calibri" w:hAnsi="Times New Roman" w:cs="Times New Roman"/>
          <w:color w:val="000066"/>
          <w:sz w:val="24"/>
          <w:szCs w:val="24"/>
        </w:rPr>
        <w:t xml:space="preserve"> or email Madison at mgray@defiancecounty.oh.gov.</w:t>
      </w:r>
    </w:p>
    <w:p w14:paraId="568DC670" w14:textId="77777777" w:rsidR="005A78FB" w:rsidRDefault="005A78FB" w:rsidP="0025256A"/>
    <w:sectPr w:rsidR="005A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EED"/>
    <w:multiLevelType w:val="hybridMultilevel"/>
    <w:tmpl w:val="0C940A9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 w15:restartNumberingAfterBreak="0">
    <w:nsid w:val="58421A36"/>
    <w:multiLevelType w:val="hybridMultilevel"/>
    <w:tmpl w:val="3906F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1B"/>
    <w:rsid w:val="00007B19"/>
    <w:rsid w:val="0025256A"/>
    <w:rsid w:val="0042618E"/>
    <w:rsid w:val="005A78FB"/>
    <w:rsid w:val="00617F01"/>
    <w:rsid w:val="00B20478"/>
    <w:rsid w:val="00B5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0AED"/>
  <w15:chartTrackingRefBased/>
  <w15:docId w15:val="{9DDE89D1-02B0-4629-A651-2864EDFC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Gray</dc:creator>
  <cp:keywords/>
  <dc:description/>
  <cp:lastModifiedBy>Chris Dancer</cp:lastModifiedBy>
  <cp:revision>2</cp:revision>
  <dcterms:created xsi:type="dcterms:W3CDTF">2022-01-13T17:36:00Z</dcterms:created>
  <dcterms:modified xsi:type="dcterms:W3CDTF">2022-01-13T17:36:00Z</dcterms:modified>
</cp:coreProperties>
</file>